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6" w:rsidRPr="00205129" w:rsidRDefault="009012BB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512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D1FA6" w:rsidRPr="00205129" w:rsidRDefault="009012BB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512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D1FA6" w:rsidRPr="00205129" w:rsidRDefault="00906EE4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512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9012BB" w:rsidRPr="00205129">
        <w:rPr>
          <w:rFonts w:ascii="Times New Roman" w:hAnsi="Times New Roman" w:cs="Times New Roman"/>
          <w:sz w:val="24"/>
          <w:szCs w:val="24"/>
        </w:rPr>
        <w:t xml:space="preserve"> «Тиманский  сельсовет» </w:t>
      </w:r>
      <w:r w:rsidRPr="00205129">
        <w:rPr>
          <w:rFonts w:ascii="Times New Roman" w:hAnsi="Times New Roman" w:cs="Times New Roman"/>
          <w:sz w:val="24"/>
          <w:szCs w:val="24"/>
        </w:rPr>
        <w:t xml:space="preserve">ЗР </w:t>
      </w:r>
      <w:r w:rsidR="009012BB" w:rsidRPr="00205129">
        <w:rPr>
          <w:rFonts w:ascii="Times New Roman" w:hAnsi="Times New Roman" w:cs="Times New Roman"/>
          <w:sz w:val="24"/>
          <w:szCs w:val="24"/>
        </w:rPr>
        <w:t xml:space="preserve">НАО  </w:t>
      </w:r>
    </w:p>
    <w:p w:rsidR="009D1FA6" w:rsidRPr="00205129" w:rsidRDefault="007909FD">
      <w:pPr>
        <w:widowControl w:val="0"/>
        <w:spacing w:after="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 19</w:t>
      </w:r>
      <w:r w:rsidR="002725FD">
        <w:rPr>
          <w:rFonts w:ascii="Times New Roman" w:hAnsi="Times New Roman" w:cs="Times New Roman"/>
          <w:sz w:val="24"/>
          <w:szCs w:val="24"/>
        </w:rPr>
        <w:t>.01</w:t>
      </w:r>
      <w:r w:rsidR="009012BB" w:rsidRPr="0020512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012BB" w:rsidRPr="00205129">
        <w:rPr>
          <w:rFonts w:ascii="Times New Roman" w:hAnsi="Times New Roman" w:cs="Times New Roman"/>
          <w:sz w:val="24"/>
          <w:szCs w:val="24"/>
        </w:rPr>
        <w:t xml:space="preserve"> г. №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2725FD">
        <w:rPr>
          <w:rFonts w:ascii="Times New Roman" w:hAnsi="Times New Roman" w:cs="Times New Roman"/>
          <w:sz w:val="24"/>
          <w:szCs w:val="24"/>
        </w:rPr>
        <w:t>п</w:t>
      </w:r>
    </w:p>
    <w:p w:rsidR="009D1FA6" w:rsidRDefault="009D1FA6">
      <w:pPr>
        <w:spacing w:after="0"/>
        <w:ind w:firstLine="540"/>
        <w:jc w:val="both"/>
        <w:outlineLvl w:val="0"/>
        <w:rPr>
          <w:rFonts w:ascii="Times New Roman" w:hAnsi="Times New Roman" w:cs="Times New Roman"/>
          <w:sz w:val="26"/>
        </w:rPr>
      </w:pPr>
    </w:p>
    <w:p w:rsidR="009D1FA6" w:rsidRDefault="009D1FA6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</w:rPr>
      </w:pPr>
    </w:p>
    <w:p w:rsidR="009D1FA6" w:rsidRDefault="009012BB">
      <w:pPr>
        <w:spacing w:after="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МУНИЦИПАЛЬНАЯ ПРОГРАММА</w:t>
      </w:r>
    </w:p>
    <w:p w:rsidR="009D1FA6" w:rsidRDefault="009012BB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6"/>
          <w:szCs w:val="28"/>
        </w:rPr>
        <w:t>Безопасность жизнедеятельности населения»</w:t>
      </w:r>
    </w:p>
    <w:p w:rsidR="009D1FA6" w:rsidRDefault="009D1FA6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tbl>
      <w:tblPr>
        <w:tblW w:w="10206" w:type="dxa"/>
        <w:tblInd w:w="-5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2" w:type="dxa"/>
          <w:bottom w:w="102" w:type="dxa"/>
          <w:right w:w="62" w:type="dxa"/>
        </w:tblCellMar>
        <w:tblLook w:val="04A0"/>
      </w:tblPr>
      <w:tblGrid>
        <w:gridCol w:w="3114"/>
        <w:gridCol w:w="7092"/>
      </w:tblGrid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Наименование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Безопасность жизнедеятельности населения» 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Администрация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сельсовет»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 Заполярного района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Ненецкого автономного округа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Участники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Администрация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НАО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Обеспечение выполнения функций администрации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НАО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Цели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Повышение безопасности жизнедеятельности населения на</w:t>
            </w:r>
          </w:p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территории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НАО: обеспечение пожарной безопасности населенных пунктов и объектов муниципальной собственности 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Задачи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Обеспечение надлежащего состояния источников наружного противопожарного водоснабжения (содержание дополнительных пожарных емкостей)</w:t>
            </w:r>
          </w:p>
          <w:p w:rsidR="009D1FA6" w:rsidRDefault="009D1FA6">
            <w:pPr>
              <w:tabs>
                <w:tab w:val="left" w:pos="7020"/>
              </w:tabs>
              <w:spacing w:after="0"/>
              <w:ind w:right="-825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bottom"/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Содержание дополнительных пожарных емкостей </w:t>
            </w:r>
          </w:p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 летний период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bottom"/>
          </w:tcPr>
          <w:p w:rsidR="009D1FA6" w:rsidRDefault="009012B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D0D0D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color w:val="0D0D0D"/>
                <w:sz w:val="26"/>
                <w:szCs w:val="28"/>
              </w:rPr>
              <w:t>Программа реализуется в один этап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Объемы бюджетных ассигнований муниципальной программы  (в разбивке по источникам финансирования)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Источники финансирование программы: бюджет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НАО</w:t>
            </w:r>
          </w:p>
          <w:p w:rsidR="009D1FA6" w:rsidRDefault="009012B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Общий объем финансирования программы</w:t>
            </w:r>
            <w:r>
              <w:rPr>
                <w:rFonts w:ascii="Times New Roman" w:hAnsi="Times New Roman"/>
                <w:sz w:val="26"/>
                <w:szCs w:val="28"/>
              </w:rPr>
              <w:t>: 67,2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тыс. руб., в числе по годам:</w:t>
            </w:r>
          </w:p>
          <w:p w:rsidR="009D1FA6" w:rsidRDefault="007909FD">
            <w:pPr>
              <w:spacing w:after="0"/>
              <w:jc w:val="center"/>
            </w:pPr>
            <w:r>
              <w:rPr>
                <w:rFonts w:ascii="Times New Roman" w:hAnsi="Times New Roman"/>
                <w:sz w:val="26"/>
                <w:szCs w:val="28"/>
              </w:rPr>
              <w:t>2023</w:t>
            </w:r>
            <w:r w:rsidR="009012BB">
              <w:rPr>
                <w:rFonts w:ascii="Times New Roman" w:hAnsi="Times New Roman"/>
                <w:sz w:val="26"/>
                <w:szCs w:val="28"/>
              </w:rPr>
              <w:t xml:space="preserve"> год – 67,2</w:t>
            </w:r>
            <w:r w:rsidR="009012BB">
              <w:rPr>
                <w:rFonts w:ascii="Times New Roman" w:hAnsi="Times New Roman" w:cs="Times New Roman"/>
                <w:sz w:val="26"/>
                <w:szCs w:val="28"/>
              </w:rPr>
              <w:t xml:space="preserve"> тыс. руб.</w:t>
            </w:r>
          </w:p>
          <w:p w:rsidR="009D1FA6" w:rsidRDefault="009D1FA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</w:tbl>
    <w:p w:rsidR="009D1FA6" w:rsidRDefault="009D1FA6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9D1FA6" w:rsidRDefault="009D1FA6">
      <w:pPr>
        <w:spacing w:after="0"/>
        <w:ind w:left="567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bookmarkStart w:id="1" w:name="Par137"/>
      <w:bookmarkEnd w:id="1"/>
    </w:p>
    <w:p w:rsidR="009D1FA6" w:rsidRDefault="009D1FA6">
      <w:pPr>
        <w:spacing w:after="0"/>
        <w:ind w:left="567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1. Характеристика сферы реализации муниципальной программы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Пожарная безопасность является одной из важнейших функций государства. В соответствии с Уставом </w:t>
      </w:r>
      <w:r w:rsidR="003D3BC4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«Тиманский сельсовет» </w:t>
      </w:r>
      <w:r w:rsidR="003D3BC4">
        <w:rPr>
          <w:rFonts w:ascii="Times New Roman" w:hAnsi="Times New Roman" w:cs="Times New Roman"/>
          <w:sz w:val="26"/>
          <w:szCs w:val="28"/>
        </w:rPr>
        <w:t xml:space="preserve">ЗР </w:t>
      </w:r>
      <w:r>
        <w:rPr>
          <w:rFonts w:ascii="Times New Roman" w:hAnsi="Times New Roman" w:cs="Times New Roman"/>
          <w:sz w:val="26"/>
          <w:szCs w:val="28"/>
        </w:rPr>
        <w:t xml:space="preserve">НАО, реализация первичных мер пожарной безопасности осуществляется Администрацией </w:t>
      </w:r>
      <w:r w:rsidR="00906EE4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«Тиманский сельсовет»</w:t>
      </w:r>
      <w:r w:rsidR="00906EE4">
        <w:rPr>
          <w:rFonts w:ascii="Times New Roman" w:hAnsi="Times New Roman" w:cs="Times New Roman"/>
          <w:sz w:val="26"/>
          <w:szCs w:val="28"/>
        </w:rPr>
        <w:t xml:space="preserve"> ЗР</w:t>
      </w:r>
      <w:r>
        <w:rPr>
          <w:rFonts w:ascii="Times New Roman" w:hAnsi="Times New Roman" w:cs="Times New Roman"/>
          <w:sz w:val="26"/>
          <w:szCs w:val="28"/>
        </w:rPr>
        <w:t xml:space="preserve"> НАО, в рамках своих полномочий, и в целях защиты жизни, здоровья, имущества граждан, в том числе детей и престарелых, юридических лиц, государственного и муниципального имущества от пожаров и их последствий. 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Основной причиной возможного возникновения чрезвычайных ситуаций является то, что существующий уровень развития систем предупреждения и ликвидации чрезвычайных ситуаций и пожарной безопасности не в полной мере соответствует спектру угроз безопасности населения, существующих на территории </w:t>
      </w:r>
      <w:r w:rsidR="001C2D51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>.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Для населенных пунктов </w:t>
      </w:r>
      <w:r w:rsidR="001C2D51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«Тиманский сельсовет» </w:t>
      </w:r>
      <w:r w:rsidR="001C2D51">
        <w:rPr>
          <w:rFonts w:ascii="Times New Roman" w:hAnsi="Times New Roman" w:cs="Times New Roman"/>
          <w:sz w:val="26"/>
          <w:szCs w:val="28"/>
        </w:rPr>
        <w:t xml:space="preserve">ЗР </w:t>
      </w:r>
      <w:r>
        <w:rPr>
          <w:rFonts w:ascii="Times New Roman" w:hAnsi="Times New Roman" w:cs="Times New Roman"/>
          <w:sz w:val="26"/>
          <w:szCs w:val="28"/>
        </w:rPr>
        <w:t>НАО  характерны следующие риски возникновения чрезвычайных ситуаций: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Техногенного характера: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аварии на объектах жизнеобеспечения, коммунально-технического и топливно-энергетического комплекса;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пожары в жилом секторе;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обрушения зданий и сооружений в результате взрывов, пожаров, производственных аварий.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Природного характера: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опасные гидрометеорологические явления, в т.ч. сильный ветер, мокрый снег, дождь со снегом, крупный град, сильный мороз и метель;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торфяные пожары.</w:t>
      </w:r>
    </w:p>
    <w:p w:rsidR="003D3BC4" w:rsidRDefault="009012BB" w:rsidP="003D3BC4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lastRenderedPageBreak/>
        <w:t> </w:t>
      </w:r>
      <w:r w:rsidR="007909FD">
        <w:rPr>
          <w:rFonts w:ascii="Times New Roman" w:hAnsi="Times New Roman" w:cs="Times New Roman"/>
          <w:sz w:val="26"/>
          <w:szCs w:val="28"/>
        </w:rPr>
        <w:t>За период с 2017 по 2022</w:t>
      </w:r>
      <w:r w:rsidR="003D3BC4">
        <w:rPr>
          <w:rFonts w:ascii="Times New Roman" w:hAnsi="Times New Roman" w:cs="Times New Roman"/>
          <w:sz w:val="26"/>
          <w:szCs w:val="28"/>
        </w:rPr>
        <w:t xml:space="preserve"> год на территории Сельского поселения «</w:t>
      </w:r>
      <w:r w:rsidR="007909FD">
        <w:rPr>
          <w:rFonts w:ascii="Times New Roman" w:hAnsi="Times New Roman" w:cs="Times New Roman"/>
          <w:sz w:val="26"/>
          <w:szCs w:val="28"/>
        </w:rPr>
        <w:t>Тиманский сельсовет» ЗР НАО  в 2 многоквартирных жилых домах произошли возгорания</w:t>
      </w:r>
      <w:r w:rsidR="003D3BC4">
        <w:rPr>
          <w:rFonts w:ascii="Times New Roman" w:hAnsi="Times New Roman" w:cs="Times New Roman"/>
          <w:sz w:val="26"/>
          <w:szCs w:val="28"/>
        </w:rPr>
        <w:t xml:space="preserve">. </w:t>
      </w:r>
      <w:r w:rsidR="007909FD">
        <w:rPr>
          <w:rFonts w:ascii="Times New Roman" w:hAnsi="Times New Roman" w:cs="Times New Roman"/>
          <w:sz w:val="26"/>
          <w:szCs w:val="28"/>
        </w:rPr>
        <w:t xml:space="preserve">Четыре </w:t>
      </w:r>
      <w:r w:rsidR="003D3BC4">
        <w:rPr>
          <w:rFonts w:ascii="Times New Roman" w:hAnsi="Times New Roman" w:cs="Times New Roman"/>
          <w:sz w:val="26"/>
          <w:szCs w:val="28"/>
        </w:rPr>
        <w:t xml:space="preserve">семьи лишились жилья. </w:t>
      </w:r>
    </w:p>
    <w:p w:rsidR="009D1FA6" w:rsidRDefault="009D1FA6">
      <w:pPr>
        <w:spacing w:after="0"/>
        <w:jc w:val="both"/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 Основными причинами гибели и травматизма людей, полного уничтожения зданий, строений и имущества при пожарах являются: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отсутствие, либо недостаточное количество первичных средств пожаротушения и противопожарного инвентаря,  а также слабые навыки практического применения;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слабая обеспеченность индивидуальными и коллективными средствами спасения людей при пожаре;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низкая обеспеченность условий для организации деятельности добровольных пожарных дружин и населения, участвующих в локализации и ликвидации пожаров до прибытия подразделений пожарной охраны;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недостаточность знаний населения о действиях при возникновении пожара;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недостаточное количество источников наружного противопожарного водоснабжения. 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Реализация программы позволит создать условия, соответствующие требованиям пожарной безопасности, по предотвращению пожаров, гибели и травмирования людей, а также материальных ценностей на объектах социальной сферы и населенных пунктах </w:t>
      </w:r>
    </w:p>
    <w:p w:rsidR="009D1FA6" w:rsidRDefault="009D1FA6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2. Основные цели  и задачи Программы</w:t>
      </w:r>
    </w:p>
    <w:p w:rsidR="009D1FA6" w:rsidRDefault="009D1FA6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Целью  Программы  является повышение безопасности жизнедеятельности населения на территории </w:t>
      </w:r>
      <w:r w:rsidR="001E1583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</w:t>
      </w:r>
      <w:r>
        <w:rPr>
          <w:rFonts w:ascii="Times New Roman" w:hAnsi="Times New Roman"/>
          <w:sz w:val="26"/>
          <w:szCs w:val="28"/>
        </w:rPr>
        <w:t>Тиманский</w:t>
      </w:r>
      <w:r>
        <w:rPr>
          <w:rFonts w:ascii="Times New Roman" w:hAnsi="Times New Roman" w:cs="Times New Roman"/>
          <w:sz w:val="26"/>
          <w:szCs w:val="28"/>
        </w:rPr>
        <w:t xml:space="preserve">сельсовет» </w:t>
      </w:r>
      <w:r w:rsidR="001E1583">
        <w:rPr>
          <w:rFonts w:ascii="Times New Roman" w:hAnsi="Times New Roman" w:cs="Times New Roman"/>
          <w:sz w:val="26"/>
          <w:szCs w:val="28"/>
        </w:rPr>
        <w:t xml:space="preserve">ЗР </w:t>
      </w:r>
      <w:r>
        <w:rPr>
          <w:rFonts w:ascii="Times New Roman" w:hAnsi="Times New Roman" w:cs="Times New Roman"/>
          <w:sz w:val="26"/>
          <w:szCs w:val="28"/>
        </w:rPr>
        <w:t>НАО:  обеспечение пожарной безопасности населенных пунктов и объектов муниципальной собственности.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В  рамках Программы предусматривается решение следующих приоритетных задач: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обеспечение надлежащего состояния источников наружного противопожарного водоснабжения (содержание дополнительных пожарных емкостей).</w:t>
      </w:r>
    </w:p>
    <w:p w:rsidR="001E1583" w:rsidRDefault="001E1583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</w:p>
    <w:p w:rsidR="009D1FA6" w:rsidRDefault="009012BB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>Программные мероприятия</w:t>
      </w:r>
    </w:p>
    <w:p w:rsidR="009D1FA6" w:rsidRDefault="009D1FA6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</w:p>
    <w:tbl>
      <w:tblPr>
        <w:tblW w:w="979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5" w:type="dxa"/>
        </w:tblCellMar>
        <w:tblLook w:val="04A0"/>
      </w:tblPr>
      <w:tblGrid>
        <w:gridCol w:w="520"/>
        <w:gridCol w:w="3149"/>
        <w:gridCol w:w="1328"/>
        <w:gridCol w:w="708"/>
        <w:gridCol w:w="2108"/>
        <w:gridCol w:w="9"/>
        <w:gridCol w:w="1973"/>
      </w:tblGrid>
      <w:tr w:rsidR="009D1FA6">
        <w:trPr>
          <w:trHeight w:val="540"/>
        </w:trPr>
        <w:tc>
          <w:tcPr>
            <w:tcW w:w="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Наименование  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мероприятия</w:t>
            </w:r>
          </w:p>
        </w:tc>
        <w:tc>
          <w:tcPr>
            <w:tcW w:w="2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Ожидаемые конечные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результаты</w:t>
            </w:r>
          </w:p>
        </w:tc>
        <w:tc>
          <w:tcPr>
            <w:tcW w:w="21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Срок  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исполнения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>мероприятия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Необходимый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объем   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>финансирования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(тыс. руб.)</w:t>
            </w:r>
          </w:p>
        </w:tc>
      </w:tr>
      <w:tr w:rsidR="009D1FA6">
        <w:trPr>
          <w:trHeight w:val="360"/>
        </w:trPr>
        <w:tc>
          <w:tcPr>
            <w:tcW w:w="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ind w:hanging="11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Единица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>измерения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>Кол-во</w:t>
            </w:r>
          </w:p>
        </w:tc>
        <w:tc>
          <w:tcPr>
            <w:tcW w:w="21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42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</w:tr>
      <w:tr w:rsidR="009D1FA6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9012B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Содержание дополнительных </w:t>
            </w:r>
            <w:r>
              <w:rPr>
                <w:rFonts w:ascii="Times New Roman" w:hAnsi="Times New Roman"/>
                <w:sz w:val="26"/>
                <w:szCs w:val="24"/>
              </w:rPr>
              <w:lastRenderedPageBreak/>
              <w:t>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lastRenderedPageBreak/>
              <w:t>ед.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6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7909FD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Июнь-сентябрь 2023</w:t>
            </w:r>
            <w:r w:rsidR="009012BB">
              <w:rPr>
                <w:rFonts w:ascii="Times New Roman" w:eastAsia="Calibri" w:hAnsi="Times New Roman"/>
                <w:sz w:val="26"/>
                <w:szCs w:val="24"/>
              </w:rPr>
              <w:t xml:space="preserve"> года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67,2</w:t>
            </w:r>
          </w:p>
        </w:tc>
      </w:tr>
      <w:tr w:rsidR="009D1FA6">
        <w:tc>
          <w:tcPr>
            <w:tcW w:w="7994" w:type="dxa"/>
            <w:gridSpan w:val="6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lastRenderedPageBreak/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67,2</w:t>
            </w:r>
          </w:p>
        </w:tc>
      </w:tr>
    </w:tbl>
    <w:p w:rsidR="009D1FA6" w:rsidRDefault="009D1FA6">
      <w:pPr>
        <w:pStyle w:val="ConsPlusCell0"/>
        <w:jc w:val="both"/>
        <w:rPr>
          <w:rFonts w:ascii="Times New Roman" w:hAnsi="Times New Roman"/>
          <w:sz w:val="26"/>
          <w:szCs w:val="24"/>
        </w:rPr>
      </w:pPr>
    </w:p>
    <w:p w:rsidR="009D1FA6" w:rsidRDefault="009D1FA6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</w:p>
    <w:p w:rsidR="009D1FA6" w:rsidRDefault="009D1FA6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</w:p>
    <w:p w:rsidR="009D1FA6" w:rsidRDefault="009012B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>3.  Сроки реализации Программы</w:t>
      </w:r>
    </w:p>
    <w:p w:rsidR="009D1FA6" w:rsidRDefault="009012BB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     Действие Программы рассчитано на один  год.</w:t>
      </w:r>
    </w:p>
    <w:p w:rsidR="009D1FA6" w:rsidRDefault="009D1FA6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</w:p>
    <w:p w:rsidR="009D1FA6" w:rsidRDefault="009012BB">
      <w:pPr>
        <w:shd w:val="clear" w:color="auto" w:fill="FFFFFF"/>
        <w:spacing w:after="0" w:line="328" w:lineRule="exact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 xml:space="preserve">  4.  Объёмы и источники финансирования</w:t>
      </w:r>
    </w:p>
    <w:p w:rsidR="009D1FA6" w:rsidRDefault="009012BB">
      <w:pPr>
        <w:shd w:val="clear" w:color="auto" w:fill="FFFFFF"/>
        <w:spacing w:before="323" w:after="0"/>
        <w:jc w:val="both"/>
      </w:pPr>
      <w:r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>Финансирование осуществляется за счёт местного бюджета, всего:</w:t>
      </w:r>
      <w:r>
        <w:rPr>
          <w:rFonts w:ascii="Times New Roman" w:hAnsi="Times New Roman"/>
          <w:bCs/>
          <w:color w:val="000000"/>
          <w:spacing w:val="-5"/>
          <w:sz w:val="26"/>
          <w:szCs w:val="28"/>
        </w:rPr>
        <w:t>67200</w:t>
      </w:r>
      <w:r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 xml:space="preserve">  рублей, </w:t>
      </w:r>
    </w:p>
    <w:p w:rsidR="009D1FA6" w:rsidRDefault="009012BB">
      <w:pPr>
        <w:shd w:val="clear" w:color="auto" w:fill="FFFFFF"/>
        <w:spacing w:before="323"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 xml:space="preserve"> Ожидаемые результаты реализации Программы</w:t>
      </w:r>
    </w:p>
    <w:p w:rsidR="009D1FA6" w:rsidRDefault="009012BB">
      <w:pPr>
        <w:shd w:val="clear" w:color="auto" w:fill="FFFFFF"/>
        <w:spacing w:before="20" w:after="0" w:line="325" w:lineRule="exact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6"/>
          <w:szCs w:val="28"/>
        </w:rPr>
        <w:t>- Повышение уровня пожарной безопасности</w:t>
      </w:r>
      <w:r>
        <w:rPr>
          <w:rFonts w:ascii="Times New Roman" w:hAnsi="Times New Roman"/>
          <w:color w:val="000000"/>
          <w:spacing w:val="-5"/>
          <w:sz w:val="26"/>
          <w:szCs w:val="28"/>
        </w:rPr>
        <w:t>.</w:t>
      </w:r>
    </w:p>
    <w:p w:rsidR="009D1FA6" w:rsidRDefault="009D1FA6">
      <w:pPr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9D1FA6" w:rsidRDefault="009012BB">
      <w:pPr>
        <w:spacing w:after="0"/>
        <w:jc w:val="both"/>
        <w:outlineLvl w:val="0"/>
        <w:rPr>
          <w:rFonts w:ascii="Times New Roman" w:hAnsi="Times New Roman"/>
          <w:b/>
          <w:sz w:val="26"/>
          <w:szCs w:val="28"/>
        </w:rPr>
      </w:pPr>
      <w:bookmarkStart w:id="2" w:name="Par431"/>
      <w:bookmarkEnd w:id="2"/>
      <w:r>
        <w:rPr>
          <w:rFonts w:ascii="Times New Roman" w:hAnsi="Times New Roman"/>
          <w:b/>
          <w:sz w:val="26"/>
          <w:szCs w:val="28"/>
        </w:rPr>
        <w:t>5</w:t>
      </w:r>
      <w:r>
        <w:rPr>
          <w:rFonts w:ascii="Times New Roman" w:hAnsi="Times New Roman" w:cs="Times New Roman"/>
          <w:b/>
          <w:sz w:val="26"/>
          <w:szCs w:val="28"/>
        </w:rPr>
        <w:t>. Обоснования и расчеты объемов финансирования:</w:t>
      </w:r>
    </w:p>
    <w:p w:rsidR="009D1FA6" w:rsidRDefault="009D1FA6">
      <w:pPr>
        <w:pStyle w:val="ConsPlusCell0"/>
        <w:jc w:val="both"/>
        <w:rPr>
          <w:rFonts w:ascii="Times New Roman" w:hAnsi="Times New Roman"/>
          <w:sz w:val="26"/>
          <w:szCs w:val="24"/>
        </w:rPr>
      </w:pPr>
    </w:p>
    <w:p w:rsidR="009D1FA6" w:rsidRDefault="009D1FA6">
      <w:pPr>
        <w:pStyle w:val="ConsPlusCell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923" w:type="dxa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2451"/>
        <w:gridCol w:w="2421"/>
        <w:gridCol w:w="2508"/>
        <w:gridCol w:w="2543"/>
      </w:tblGrid>
      <w:tr w:rsidR="009D1FA6"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     финансирования</w:t>
            </w:r>
          </w:p>
        </w:tc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ресурсов необходимых для реализации мероприятия</w:t>
            </w:r>
          </w:p>
        </w:tc>
      </w:tr>
      <w:tr w:rsidR="009D1FA6">
        <w:trPr>
          <w:trHeight w:val="1517"/>
        </w:trPr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F44C2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«Тиманский сельсовет»</w:t>
            </w:r>
            <w:r w:rsidR="00F44C2E">
              <w:rPr>
                <w:rFonts w:ascii="Times New Roman" w:hAnsi="Times New Roman" w:cs="Times New Roman"/>
                <w:sz w:val="24"/>
                <w:szCs w:val="24"/>
              </w:rPr>
              <w:t xml:space="preserve"> 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НАО</w:t>
            </w:r>
          </w:p>
        </w:tc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 тыс.руб.</w:t>
            </w:r>
          </w:p>
        </w:tc>
      </w:tr>
    </w:tbl>
    <w:p w:rsidR="009D1FA6" w:rsidRDefault="009D1FA6">
      <w:pPr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</w:p>
    <w:p w:rsidR="009D1FA6" w:rsidRDefault="009D1FA6">
      <w:pPr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9D1FA6" w:rsidRDefault="009D1FA6">
      <w:pPr>
        <w:spacing w:after="0"/>
        <w:jc w:val="both"/>
        <w:rPr>
          <w:rFonts w:ascii="Times New Roman" w:eastAsia="Calibri" w:hAnsi="Times New Roman" w:cs="Times New Roman"/>
          <w:sz w:val="26"/>
          <w:szCs w:val="28"/>
          <w:lang w:eastAsia="en-US"/>
        </w:rPr>
      </w:pPr>
    </w:p>
    <w:p w:rsidR="009D1FA6" w:rsidRDefault="009D1FA6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9D1FA6" w:rsidRDefault="009D1FA6">
      <w:pPr>
        <w:jc w:val="both"/>
        <w:rPr>
          <w:sz w:val="26"/>
          <w:szCs w:val="28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</w:pPr>
    </w:p>
    <w:sectPr w:rsidR="009D1FA6" w:rsidSect="00791BC6">
      <w:footerReference w:type="default" r:id="rId7"/>
      <w:pgSz w:w="11906" w:h="16838"/>
      <w:pgMar w:top="1134" w:right="850" w:bottom="1686" w:left="1701" w:header="0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CC8" w:rsidRDefault="00A26CC8">
      <w:pPr>
        <w:spacing w:after="0" w:line="240" w:lineRule="auto"/>
      </w:pPr>
      <w:r>
        <w:separator/>
      </w:r>
    </w:p>
  </w:endnote>
  <w:endnote w:type="continuationSeparator" w:id="1">
    <w:p w:rsidR="00A26CC8" w:rsidRDefault="00A2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6" w:rsidRDefault="009D1FA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CC8" w:rsidRDefault="00A26CC8">
      <w:pPr>
        <w:spacing w:after="0" w:line="240" w:lineRule="auto"/>
      </w:pPr>
      <w:r>
        <w:separator/>
      </w:r>
    </w:p>
  </w:footnote>
  <w:footnote w:type="continuationSeparator" w:id="1">
    <w:p w:rsidR="00A26CC8" w:rsidRDefault="00A26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07973"/>
    <w:multiLevelType w:val="multilevel"/>
    <w:tmpl w:val="19C056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</w:abstractNum>
  <w:abstractNum w:abstractNumId="1">
    <w:nsid w:val="4F6358F3"/>
    <w:multiLevelType w:val="multilevel"/>
    <w:tmpl w:val="5CAE11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1FA6"/>
    <w:rsid w:val="000B206C"/>
    <w:rsid w:val="00180B1B"/>
    <w:rsid w:val="001C2D51"/>
    <w:rsid w:val="001E1583"/>
    <w:rsid w:val="00205129"/>
    <w:rsid w:val="00205988"/>
    <w:rsid w:val="0026710C"/>
    <w:rsid w:val="002725FD"/>
    <w:rsid w:val="003B5E51"/>
    <w:rsid w:val="003D3BC4"/>
    <w:rsid w:val="005620F4"/>
    <w:rsid w:val="00736929"/>
    <w:rsid w:val="007909FD"/>
    <w:rsid w:val="00791BC6"/>
    <w:rsid w:val="009012BB"/>
    <w:rsid w:val="00906EE4"/>
    <w:rsid w:val="009D1FA6"/>
    <w:rsid w:val="00A26CC8"/>
    <w:rsid w:val="00C04F07"/>
    <w:rsid w:val="00D52E9F"/>
    <w:rsid w:val="00E33219"/>
    <w:rsid w:val="00EA69E5"/>
    <w:rsid w:val="00F44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9F"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qFormat/>
    <w:rsid w:val="000734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Cell">
    <w:name w:val="ConsPlusCell Знак"/>
    <w:basedOn w:val="a0"/>
    <w:rsid w:val="00073457"/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0734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Знак"/>
    <w:basedOn w:val="a0"/>
    <w:rsid w:val="00073457"/>
    <w:rPr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073457"/>
  </w:style>
  <w:style w:type="character" w:customStyle="1" w:styleId="a4">
    <w:name w:val="Текст выноски Знак"/>
    <w:basedOn w:val="a0"/>
    <w:uiPriority w:val="99"/>
    <w:semiHidden/>
    <w:rsid w:val="00073457"/>
    <w:rPr>
      <w:rFonts w:ascii="Tahoma" w:hAnsi="Tahoma" w:cs="Tahoma"/>
      <w:sz w:val="16"/>
      <w:szCs w:val="16"/>
    </w:rPr>
  </w:style>
  <w:style w:type="character" w:customStyle="1" w:styleId="8">
    <w:name w:val="Основной текст + 8"/>
    <w:basedOn w:val="a3"/>
    <w:rsid w:val="006A60EA"/>
    <w:rPr>
      <w:rFonts w:ascii="Times New Roman" w:hAnsi="Times New Roman" w:cs="Times New Roman"/>
      <w:sz w:val="17"/>
      <w:szCs w:val="17"/>
      <w:u w:val="none"/>
      <w:shd w:val="clear" w:color="auto" w:fill="FFFFFF"/>
      <w:lang w:bidi="ar-SA"/>
    </w:rPr>
  </w:style>
  <w:style w:type="character" w:customStyle="1" w:styleId="ListLabel1">
    <w:name w:val="ListLabel 1"/>
    <w:rsid w:val="00791BC6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</w:rPr>
  </w:style>
  <w:style w:type="character" w:customStyle="1" w:styleId="-">
    <w:name w:val="Интернет-ссылка"/>
    <w:rsid w:val="00791BC6"/>
    <w:rPr>
      <w:color w:val="000080"/>
      <w:u w:val="single"/>
    </w:rPr>
  </w:style>
  <w:style w:type="character" w:customStyle="1" w:styleId="ListLabel2">
    <w:name w:val="ListLabel 2"/>
    <w:rsid w:val="00791BC6"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5"/>
      <w:szCs w:val="25"/>
      <w:u w:val="none"/>
    </w:rPr>
  </w:style>
  <w:style w:type="character" w:customStyle="1" w:styleId="ListLabel3">
    <w:name w:val="ListLabel 3"/>
    <w:rsid w:val="00791BC6"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5"/>
      <w:szCs w:val="25"/>
      <w:u w:val="none"/>
    </w:rPr>
  </w:style>
  <w:style w:type="character" w:customStyle="1" w:styleId="ListLabel4">
    <w:name w:val="ListLabel 4"/>
    <w:rsid w:val="00791BC6"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5"/>
      <w:szCs w:val="25"/>
      <w:u w:val="none"/>
    </w:rPr>
  </w:style>
  <w:style w:type="paragraph" w:styleId="a5">
    <w:name w:val="Title"/>
    <w:basedOn w:val="a"/>
    <w:next w:val="a6"/>
    <w:rsid w:val="00791BC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073457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paragraph" w:styleId="a7">
    <w:name w:val="List"/>
    <w:basedOn w:val="a6"/>
    <w:rsid w:val="00791BC6"/>
    <w:rPr>
      <w:rFonts w:cs="Mangal"/>
    </w:rPr>
  </w:style>
  <w:style w:type="paragraph" w:customStyle="1" w:styleId="10">
    <w:name w:val="Название1"/>
    <w:basedOn w:val="a"/>
    <w:rsid w:val="00791B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791BC6"/>
    <w:pPr>
      <w:suppressLineNumbers/>
    </w:pPr>
    <w:rPr>
      <w:rFonts w:cs="Mangal"/>
    </w:rPr>
  </w:style>
  <w:style w:type="paragraph" w:customStyle="1" w:styleId="ConsPlusCell0">
    <w:name w:val="ConsPlusCell"/>
    <w:rsid w:val="00073457"/>
    <w:pPr>
      <w:widowControl w:val="0"/>
      <w:suppressAutoHyphens/>
      <w:spacing w:line="240" w:lineRule="auto"/>
    </w:pPr>
    <w:rPr>
      <w:rFonts w:ascii="Arial" w:eastAsia="Calibri" w:hAnsi="Arial" w:cs="Arial"/>
      <w:color w:val="00000A"/>
      <w:szCs w:val="20"/>
    </w:rPr>
  </w:style>
  <w:style w:type="paragraph" w:styleId="a9">
    <w:name w:val="No Spacing"/>
    <w:qFormat/>
    <w:rsid w:val="00073457"/>
    <w:pPr>
      <w:suppressAutoHyphens/>
      <w:spacing w:line="240" w:lineRule="auto"/>
    </w:pPr>
    <w:rPr>
      <w:rFonts w:eastAsia="Calibri" w:cs="Times New Roman"/>
      <w:color w:val="00000A"/>
      <w:sz w:val="22"/>
      <w:lang w:eastAsia="en-US"/>
    </w:rPr>
  </w:style>
  <w:style w:type="paragraph" w:customStyle="1" w:styleId="ConsPlusTitle">
    <w:name w:val="ConsPlusTitle"/>
    <w:rsid w:val="00073457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color w:val="00000A"/>
      <w:szCs w:val="20"/>
    </w:rPr>
  </w:style>
  <w:style w:type="paragraph" w:styleId="aa">
    <w:name w:val="Balloon Text"/>
    <w:basedOn w:val="a"/>
    <w:uiPriority w:val="99"/>
    <w:semiHidden/>
    <w:unhideWhenUsed/>
    <w:rsid w:val="0007345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F3239"/>
    <w:pPr>
      <w:ind w:left="720"/>
      <w:contextualSpacing/>
    </w:pPr>
  </w:style>
  <w:style w:type="paragraph" w:styleId="ac">
    <w:name w:val="Normal (Web)"/>
    <w:basedOn w:val="a"/>
    <w:rsid w:val="006A60E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6A60E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3E323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Содержимое врезки"/>
    <w:basedOn w:val="a"/>
    <w:rsid w:val="00791BC6"/>
  </w:style>
  <w:style w:type="paragraph" w:styleId="ae">
    <w:name w:val="footer"/>
    <w:basedOn w:val="a"/>
    <w:rsid w:val="00791B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User</cp:lastModifiedBy>
  <cp:revision>2</cp:revision>
  <cp:lastPrinted>2023-01-19T13:53:00Z</cp:lastPrinted>
  <dcterms:created xsi:type="dcterms:W3CDTF">2023-01-20T05:39:00Z</dcterms:created>
  <dcterms:modified xsi:type="dcterms:W3CDTF">2023-01-20T05:39:00Z</dcterms:modified>
  <dc:language>ru-RU</dc:language>
</cp:coreProperties>
</file>