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ED" w:rsidRPr="00205129" w:rsidRDefault="005948ED" w:rsidP="005948ED">
      <w:pPr>
        <w:ind w:firstLine="709"/>
        <w:jc w:val="right"/>
        <w:rPr>
          <w:rFonts w:ascii="Times New Roman" w:hAnsi="Times New Roman" w:cs="Times New Roman"/>
        </w:rPr>
      </w:pPr>
      <w:r w:rsidRPr="00205129">
        <w:rPr>
          <w:rFonts w:ascii="Times New Roman" w:hAnsi="Times New Roman" w:cs="Times New Roman"/>
        </w:rPr>
        <w:t xml:space="preserve">Приложение </w:t>
      </w:r>
    </w:p>
    <w:p w:rsidR="005948ED" w:rsidRPr="00205129" w:rsidRDefault="005948ED" w:rsidP="005948ED">
      <w:pPr>
        <w:ind w:firstLine="709"/>
        <w:jc w:val="right"/>
        <w:rPr>
          <w:rFonts w:ascii="Times New Roman" w:hAnsi="Times New Roman" w:cs="Times New Roman"/>
        </w:rPr>
      </w:pPr>
      <w:r w:rsidRPr="00205129">
        <w:rPr>
          <w:rFonts w:ascii="Times New Roman" w:hAnsi="Times New Roman" w:cs="Times New Roman"/>
        </w:rPr>
        <w:t>к Постановлению Администрации</w:t>
      </w:r>
    </w:p>
    <w:p w:rsidR="005948ED" w:rsidRPr="00205129" w:rsidRDefault="005948ED" w:rsidP="005948ED">
      <w:pPr>
        <w:ind w:firstLine="709"/>
        <w:jc w:val="right"/>
        <w:rPr>
          <w:rFonts w:ascii="Times New Roman" w:hAnsi="Times New Roman" w:cs="Times New Roman"/>
        </w:rPr>
      </w:pPr>
      <w:r w:rsidRPr="00205129">
        <w:rPr>
          <w:rFonts w:ascii="Times New Roman" w:hAnsi="Times New Roman" w:cs="Times New Roman"/>
        </w:rPr>
        <w:t xml:space="preserve">Сельского поселения «Тиманский  сельсовет» ЗР НАО  </w:t>
      </w:r>
    </w:p>
    <w:p w:rsidR="005948ED" w:rsidRPr="00205129" w:rsidRDefault="00BC62D6" w:rsidP="005948ED">
      <w:pPr>
        <w:jc w:val="right"/>
      </w:pPr>
      <w:r>
        <w:rPr>
          <w:rFonts w:ascii="Times New Roman" w:hAnsi="Times New Roman" w:cs="Times New Roman"/>
        </w:rPr>
        <w:t xml:space="preserve">        от 21.12</w:t>
      </w:r>
      <w:r w:rsidR="0061464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2022</w:t>
      </w:r>
      <w:r w:rsidR="005948ED" w:rsidRPr="00205129">
        <w:rPr>
          <w:rFonts w:ascii="Times New Roman" w:hAnsi="Times New Roman" w:cs="Times New Roman"/>
        </w:rPr>
        <w:t xml:space="preserve"> г. №</w:t>
      </w:r>
      <w:r>
        <w:rPr>
          <w:rFonts w:ascii="Times New Roman" w:hAnsi="Times New Roman" w:cs="Times New Roman"/>
        </w:rPr>
        <w:t xml:space="preserve"> 95п</w:t>
      </w:r>
      <w:bookmarkStart w:id="0" w:name="_GoBack"/>
      <w:bookmarkEnd w:id="0"/>
    </w:p>
    <w:p w:rsidR="006C04A3" w:rsidRDefault="006C04A3">
      <w:pPr>
        <w:pStyle w:val="1"/>
      </w:pPr>
    </w:p>
    <w:p w:rsidR="008417E3" w:rsidRDefault="009A6BF0">
      <w:pPr>
        <w:pStyle w:val="1"/>
      </w:pPr>
      <w:r>
        <w:t>Методика</w:t>
      </w:r>
      <w:r>
        <w:br/>
        <w:t xml:space="preserve">прогнозирования поступления доходов в местный бюджет, администратором которых является Администрация </w:t>
      </w:r>
      <w:r w:rsidR="00AC4E8D">
        <w:t>Сельского поселения</w:t>
      </w:r>
      <w:r>
        <w:t xml:space="preserve"> "</w:t>
      </w:r>
      <w:r w:rsidR="006F117A">
        <w:t xml:space="preserve">Тиманский </w:t>
      </w:r>
      <w:r>
        <w:t xml:space="preserve">сельсовет" </w:t>
      </w:r>
      <w:r w:rsidR="00AC4E8D">
        <w:t xml:space="preserve">Заполярного района </w:t>
      </w:r>
      <w:r>
        <w:t>Ненецкого автономного округа</w:t>
      </w:r>
    </w:p>
    <w:p w:rsidR="008417E3" w:rsidRDefault="008417E3"/>
    <w:p w:rsidR="008417E3" w:rsidRDefault="009A6BF0">
      <w:r>
        <w:t xml:space="preserve">Настоящая Методика определяет основные принципы формирования прогноза поступлений доходов в местный бюджет по всем </w:t>
      </w:r>
      <w:hyperlink r:id="rId7" w:history="1">
        <w:r>
          <w:rPr>
            <w:rStyle w:val="a4"/>
          </w:rPr>
          <w:t>кодам бюджетной классификации</w:t>
        </w:r>
      </w:hyperlink>
      <w:r>
        <w:t xml:space="preserve">, администратором которых является Администрация </w:t>
      </w:r>
      <w:r w:rsidR="00AC4E8D">
        <w:t>Сельского поселения</w:t>
      </w:r>
      <w:r>
        <w:t xml:space="preserve"> "</w:t>
      </w:r>
      <w:r w:rsidR="006F117A">
        <w:t xml:space="preserve">Тиманский </w:t>
      </w:r>
      <w:r>
        <w:t xml:space="preserve">сельсовет" </w:t>
      </w:r>
      <w:r w:rsidR="00AC4E8D">
        <w:t xml:space="preserve">Заполярного района </w:t>
      </w:r>
      <w:r>
        <w:t xml:space="preserve">Ненецкого автономного округа (далее - Администрация </w:t>
      </w:r>
      <w:r w:rsidR="00AC4E8D">
        <w:t>Сельского поселения</w:t>
      </w:r>
      <w:r>
        <w:t xml:space="preserve"> "</w:t>
      </w:r>
      <w:r w:rsidR="006F117A">
        <w:t xml:space="preserve">Тиманский </w:t>
      </w:r>
      <w:r>
        <w:t xml:space="preserve">сельсовет" </w:t>
      </w:r>
      <w:r w:rsidR="00AC4E8D">
        <w:t xml:space="preserve">ЗР </w:t>
      </w:r>
      <w:r>
        <w:t>НАО).</w:t>
      </w:r>
    </w:p>
    <w:p w:rsidR="00BB13EF" w:rsidRDefault="00BB13EF" w:rsidP="00BB13EF">
      <w:r>
        <w:t>Перечень поступлений доходов бюджета, в отношении которых главный администратор выполняет бюджетные полномочия:</w:t>
      </w:r>
    </w:p>
    <w:p w:rsidR="00BB13EF" w:rsidRDefault="00BB13EF" w:rsidP="00BB13EF"/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0"/>
        <w:gridCol w:w="2858"/>
        <w:gridCol w:w="5670"/>
      </w:tblGrid>
      <w:tr w:rsidR="00BB13EF" w:rsidTr="000E4BF1"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3EF" w:rsidRPr="000E4BF1" w:rsidRDefault="0010779E" w:rsidP="004A11E8">
            <w:pPr>
              <w:pStyle w:val="a5"/>
              <w:jc w:val="center"/>
            </w:pPr>
            <w:hyperlink r:id="rId8" w:history="1">
              <w:r w:rsidR="00BB13EF" w:rsidRPr="000E4BF1">
                <w:rPr>
                  <w:rStyle w:val="a4"/>
                  <w:sz w:val="22"/>
                </w:rPr>
                <w:t>Код бюджетной классификации</w:t>
              </w:r>
            </w:hyperlink>
            <w:r w:rsidR="00BB13EF" w:rsidRPr="000E4BF1">
              <w:rPr>
                <w:sz w:val="22"/>
              </w:rPr>
              <w:t xml:space="preserve"> РФ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3EF" w:rsidRPr="000E4BF1" w:rsidRDefault="00BB13EF" w:rsidP="004A11E8">
            <w:pPr>
              <w:pStyle w:val="a5"/>
              <w:jc w:val="center"/>
            </w:pPr>
            <w:r w:rsidRPr="000E4BF1">
              <w:rPr>
                <w:sz w:val="22"/>
              </w:rPr>
              <w:t>Наименование кода</w:t>
            </w:r>
          </w:p>
        </w:tc>
      </w:tr>
      <w:tr w:rsidR="000F5203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5203" w:rsidRPr="000E4BF1" w:rsidRDefault="000F5203" w:rsidP="000F5203">
            <w:pPr>
              <w:pStyle w:val="a5"/>
              <w:jc w:val="center"/>
              <w:rPr>
                <w:b/>
              </w:rPr>
            </w:pPr>
            <w:r w:rsidRPr="000E4BF1">
              <w:rPr>
                <w:b/>
                <w:sz w:val="22"/>
              </w:rPr>
              <w:t>Налоговые доходы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203" w:rsidRPr="000E4BF1" w:rsidRDefault="000F5203" w:rsidP="000F5203">
            <w:pPr>
              <w:pStyle w:val="a5"/>
              <w:jc w:val="center"/>
            </w:pP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936F3F">
            <w:pPr>
              <w:pStyle w:val="a5"/>
              <w:jc w:val="center"/>
            </w:pPr>
            <w:r w:rsidRPr="000E4BF1">
              <w:rPr>
                <w:sz w:val="22"/>
              </w:rPr>
              <w:t>1 01 02010 01 0000 110</w:t>
            </w:r>
          </w:p>
          <w:p w:rsidR="00D64F6F" w:rsidRPr="000E4BF1" w:rsidRDefault="00D64F6F" w:rsidP="00936F3F">
            <w:pPr>
              <w:pStyle w:val="a5"/>
              <w:jc w:val="center"/>
            </w:pPr>
            <w:r w:rsidRPr="000E4BF1">
              <w:rPr>
                <w:sz w:val="22"/>
              </w:rPr>
              <w:t>1 01 02020 01 0000 110</w:t>
            </w:r>
          </w:p>
          <w:p w:rsidR="00D64F6F" w:rsidRPr="000E4BF1" w:rsidRDefault="00D64F6F" w:rsidP="007A60BB">
            <w:pPr>
              <w:pStyle w:val="a5"/>
              <w:jc w:val="center"/>
            </w:pPr>
            <w:r w:rsidRPr="000E4BF1">
              <w:rPr>
                <w:sz w:val="22"/>
              </w:rPr>
              <w:t>1 01 02030 01 0000 110</w:t>
            </w:r>
          </w:p>
          <w:p w:rsidR="00D64F6F" w:rsidRPr="000E4BF1" w:rsidRDefault="00D64F6F" w:rsidP="007A60BB">
            <w:pPr>
              <w:pStyle w:val="a5"/>
              <w:jc w:val="center"/>
            </w:pPr>
            <w:r w:rsidRPr="000E4BF1">
              <w:rPr>
                <w:sz w:val="22"/>
              </w:rPr>
              <w:t>1 01 02080 01 0000 110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6"/>
            </w:pPr>
            <w:r w:rsidRPr="000E4BF1">
              <w:rPr>
                <w:sz w:val="22"/>
              </w:rPr>
              <w:t>Налог на доходы физических лиц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4A11E8">
            <w:pPr>
              <w:pStyle w:val="a5"/>
              <w:jc w:val="center"/>
            </w:pPr>
            <w:r w:rsidRPr="000E4BF1">
              <w:rPr>
                <w:sz w:val="22"/>
              </w:rPr>
              <w:t>1 03 02000 01 0000 110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4A11E8">
            <w:pPr>
              <w:pStyle w:val="a6"/>
            </w:pPr>
            <w:r w:rsidRPr="000E4BF1">
              <w:rPr>
                <w:sz w:val="22"/>
              </w:rPr>
              <w:t>Акцизы по подакцизным товарам (продукции), производимые на территории Российской Федерации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5"/>
              <w:jc w:val="center"/>
            </w:pPr>
            <w:r w:rsidRPr="000E4BF1">
              <w:rPr>
                <w:sz w:val="22"/>
              </w:rPr>
              <w:t>1 05 01010 01 0000 110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6"/>
            </w:pPr>
            <w:r w:rsidRPr="000E4BF1">
              <w:rPr>
                <w:sz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5"/>
              <w:jc w:val="center"/>
            </w:pPr>
            <w:r w:rsidRPr="000E4BF1">
              <w:rPr>
                <w:sz w:val="22"/>
              </w:rPr>
              <w:t>1 05 01020 01 0000 110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6"/>
            </w:pPr>
            <w:r w:rsidRPr="000E4BF1">
              <w:rPr>
                <w:sz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5"/>
              <w:jc w:val="center"/>
            </w:pPr>
            <w:r w:rsidRPr="000E4BF1">
              <w:rPr>
                <w:sz w:val="22"/>
              </w:rPr>
              <w:t>1 06 01030 10 0000 110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F6F" w:rsidRPr="000E4BF1" w:rsidRDefault="00D64F6F" w:rsidP="00D648E1">
            <w:pPr>
              <w:pStyle w:val="a6"/>
            </w:pPr>
            <w:r w:rsidRPr="000E4BF1"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F7400B">
            <w:pPr>
              <w:pStyle w:val="a5"/>
              <w:jc w:val="center"/>
            </w:pPr>
            <w:r w:rsidRPr="000E4BF1">
              <w:rPr>
                <w:sz w:val="22"/>
              </w:rPr>
              <w:t>1 06 06033 10 0000 110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F6F" w:rsidRPr="000E4BF1" w:rsidRDefault="00D64F6F" w:rsidP="004A11E8">
            <w:pPr>
              <w:pStyle w:val="a6"/>
            </w:pPr>
            <w:r w:rsidRPr="000E4BF1">
              <w:rPr>
                <w:sz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F7400B">
            <w:pPr>
              <w:pStyle w:val="a5"/>
              <w:jc w:val="center"/>
            </w:pPr>
            <w:r w:rsidRPr="000E4BF1">
              <w:rPr>
                <w:sz w:val="22"/>
              </w:rPr>
              <w:t>1 06 06043 10 0000 110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F6F" w:rsidRPr="000E4BF1" w:rsidRDefault="00D64F6F" w:rsidP="004A11E8">
            <w:pPr>
              <w:pStyle w:val="a6"/>
            </w:pPr>
            <w:r w:rsidRPr="000E4BF1">
              <w:rPr>
                <w:sz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D64F6F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6F" w:rsidRPr="000E4BF1" w:rsidRDefault="00D64F6F" w:rsidP="00F7400B">
            <w:pPr>
              <w:pStyle w:val="a5"/>
              <w:jc w:val="center"/>
            </w:pPr>
            <w:r w:rsidRPr="000E4BF1">
              <w:rPr>
                <w:sz w:val="22"/>
              </w:rPr>
              <w:t>1 08 04020 01 0000 110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F6F" w:rsidRPr="000E4BF1" w:rsidRDefault="00D64F6F" w:rsidP="004A11E8">
            <w:pPr>
              <w:pStyle w:val="a6"/>
            </w:pPr>
            <w:r w:rsidRPr="000E4BF1">
              <w:rPr>
                <w:sz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 на совершение нотариальных действий</w:t>
            </w:r>
          </w:p>
        </w:tc>
      </w:tr>
      <w:tr w:rsidR="00936F3F" w:rsidRPr="000F5203" w:rsidTr="000E4BF1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F3F" w:rsidRPr="000E4BF1" w:rsidRDefault="00936F3F" w:rsidP="00F7400B">
            <w:pPr>
              <w:pStyle w:val="a5"/>
              <w:jc w:val="center"/>
              <w:rPr>
                <w:b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6F3F" w:rsidRPr="000E4BF1" w:rsidRDefault="00936F3F" w:rsidP="00F7400B">
            <w:pPr>
              <w:pStyle w:val="a5"/>
              <w:jc w:val="center"/>
              <w:rPr>
                <w:b/>
              </w:rPr>
            </w:pPr>
            <w:r w:rsidRPr="000E4BF1">
              <w:rPr>
                <w:b/>
                <w:sz w:val="22"/>
              </w:rPr>
              <w:t>Неналоговые доходы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F3F" w:rsidRPr="000E4BF1" w:rsidRDefault="00936F3F" w:rsidP="004A11E8">
            <w:pPr>
              <w:pStyle w:val="a6"/>
              <w:rPr>
                <w:b/>
              </w:rPr>
            </w:pPr>
          </w:p>
        </w:tc>
      </w:tr>
      <w:tr w:rsidR="000E4BF1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F1" w:rsidRPr="000E4BF1" w:rsidRDefault="000E4BF1" w:rsidP="00F7400B">
            <w:pPr>
              <w:pStyle w:val="a5"/>
              <w:jc w:val="center"/>
            </w:pPr>
            <w:r w:rsidRPr="000E4BF1">
              <w:rPr>
                <w:sz w:val="22"/>
              </w:rPr>
              <w:t>1 11 05025 10 0000 120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BF1" w:rsidRPr="000E4BF1" w:rsidRDefault="000E4BF1" w:rsidP="004A11E8">
            <w:pPr>
              <w:pStyle w:val="a6"/>
            </w:pPr>
            <w:r w:rsidRPr="000E4BF1">
              <w:rPr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E4BF1" w:rsidTr="000E4BF1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BF1" w:rsidRPr="000E4BF1" w:rsidRDefault="000E4BF1" w:rsidP="00F7400B">
            <w:pPr>
              <w:pStyle w:val="a5"/>
              <w:jc w:val="center"/>
            </w:pPr>
            <w:r w:rsidRPr="000E4BF1">
              <w:rPr>
                <w:sz w:val="22"/>
              </w:rPr>
              <w:t>1 11 09045 10 0000 120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BF1" w:rsidRPr="00ED34E4" w:rsidRDefault="000E4BF1" w:rsidP="004A11E8">
            <w:pPr>
              <w:pStyle w:val="a6"/>
              <w:rPr>
                <w:sz w:val="20"/>
                <w:szCs w:val="20"/>
              </w:rPr>
            </w:pPr>
            <w:r w:rsidRPr="00ED34E4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</w:tbl>
    <w:p w:rsidR="008417E3" w:rsidRDefault="009A6BF0" w:rsidP="00042DE9">
      <w:pPr>
        <w:pStyle w:val="1"/>
      </w:pPr>
      <w:bookmarkStart w:id="1" w:name="sub_100"/>
      <w:r>
        <w:lastRenderedPageBreak/>
        <w:t>Налоговые доходы.</w:t>
      </w:r>
    </w:p>
    <w:bookmarkEnd w:id="1"/>
    <w:p w:rsidR="008417E3" w:rsidRDefault="008417E3"/>
    <w:p w:rsidR="00BB336F" w:rsidRDefault="009A6BF0" w:rsidP="000E4BF1">
      <w:pPr>
        <w:pStyle w:val="a5"/>
        <w:ind w:firstLine="720"/>
      </w:pPr>
      <w:bookmarkStart w:id="2" w:name="sub_1001"/>
      <w:r>
        <w:t xml:space="preserve">1. </w:t>
      </w:r>
      <w:r w:rsidR="00936F3F">
        <w:t xml:space="preserve">Прогноз поступлений </w:t>
      </w:r>
      <w:r w:rsidR="00F027F0">
        <w:t>налога</w:t>
      </w:r>
      <w:r w:rsidR="00F027F0" w:rsidRPr="00936F3F">
        <w:t xml:space="preserve"> на доходы физических лиц</w:t>
      </w:r>
      <w:r w:rsidR="00DC2C9F">
        <w:t xml:space="preserve"> код </w:t>
      </w:r>
      <w:hyperlink r:id="rId9" w:history="1">
        <w:r w:rsidR="00DC2C9F">
          <w:rPr>
            <w:rStyle w:val="a4"/>
          </w:rPr>
          <w:t>бюджетной классификации доходов</w:t>
        </w:r>
      </w:hyperlink>
      <w:r w:rsidR="00DC2C9F">
        <w:t xml:space="preserve"> - 1 01 02010 01 0000 110; 1 01 02020 01 0000 110; 1 01 02030 01 0000 110; </w:t>
      </w:r>
      <w:r w:rsidR="00DC2C9F" w:rsidRPr="007A60BB">
        <w:t>101 02080 01 0000 110</w:t>
      </w:r>
      <w:r w:rsidR="00DC2C9F">
        <w:t>)</w:t>
      </w:r>
      <w:r w:rsidR="00F027F0">
        <w:t>; налог,</w:t>
      </w:r>
      <w:r w:rsidR="00F027F0" w:rsidRPr="00D648E1">
        <w:t xml:space="preserve"> взимаемый с налогоплательщиков, выбравших в качестве объекта налогообложения доходы</w:t>
      </w:r>
      <w:hyperlink r:id="rId10" w:history="1">
        <w:r w:rsidR="00DC2C9F">
          <w:rPr>
            <w:rStyle w:val="a4"/>
          </w:rPr>
          <w:t>бюджетной классификации доходов</w:t>
        </w:r>
      </w:hyperlink>
      <w:r w:rsidR="00DC2C9F">
        <w:t xml:space="preserve"> – (</w:t>
      </w:r>
      <w:r w:rsidR="00DC2C9F" w:rsidRPr="00D648E1">
        <w:t>105 01010 01 0000 110</w:t>
      </w:r>
      <w:r w:rsidR="00DC2C9F">
        <w:t>)</w:t>
      </w:r>
      <w:r w:rsidR="00F027F0">
        <w:t>; н</w:t>
      </w:r>
      <w:r w:rsidR="00F027F0" w:rsidRPr="00D648E1">
        <w:t>алог, взимаемый с налогоплательщиков, выбравших в качестве объекта налогообложения доходы, уменьшенные на величину расходов</w:t>
      </w:r>
      <w:hyperlink r:id="rId11" w:history="1">
        <w:r w:rsidR="00DC2C9F">
          <w:rPr>
            <w:rStyle w:val="a4"/>
          </w:rPr>
          <w:t>бюджетной классификации доходов</w:t>
        </w:r>
      </w:hyperlink>
      <w:r w:rsidR="00DC2C9F">
        <w:t xml:space="preserve"> – (</w:t>
      </w:r>
      <w:r w:rsidR="00DC2C9F" w:rsidRPr="00D648E1">
        <w:t>105 01020 01 0000 110</w:t>
      </w:r>
      <w:r w:rsidR="00DC2C9F">
        <w:t>)</w:t>
      </w:r>
      <w:r w:rsidR="00F027F0">
        <w:t>;</w:t>
      </w:r>
      <w:r w:rsidR="007C0B0A">
        <w:t xml:space="preserve"> на очередной финансовый год и плановые периоды рассчитывается </w:t>
      </w:r>
      <w:r w:rsidR="008A712C">
        <w:t>методом усреднения</w:t>
      </w:r>
      <w:r w:rsidR="007C0B0A" w:rsidRPr="007C0B0A">
        <w:t xml:space="preserve"> с применением индексов потребительских цен</w:t>
      </w:r>
      <w:r w:rsidR="008A712C">
        <w:t xml:space="preserve"> по следующей формуле :</w:t>
      </w:r>
    </w:p>
    <w:p w:rsidR="00BB336F" w:rsidRPr="00BB336F" w:rsidRDefault="00BB336F" w:rsidP="00BB336F"/>
    <w:p w:rsidR="00D6791C" w:rsidRPr="00614642" w:rsidRDefault="00D6791C" w:rsidP="00D6791C">
      <w:pPr>
        <w:jc w:val="center"/>
      </w:pPr>
      <m:oMath>
        <m:r>
          <w:rPr>
            <w:rFonts w:ascii="Cambria Math" w:hAnsi="Cambria Math"/>
          </w:rPr>
          <m:t>π=(</m:t>
        </m:r>
        <m:nary>
          <m:naryPr>
            <m:chr m:val="∑"/>
            <m:limLoc m:val="undOvr"/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P)/n</m:t>
            </m:r>
          </m:e>
        </m:nary>
      </m:oMath>
      <w:r w:rsidRPr="00614642">
        <w:t xml:space="preserve"> *</w:t>
      </w:r>
      <w:r>
        <w:rPr>
          <w:lang w:val="en-US"/>
        </w:rPr>
        <w:t>K</w:t>
      </w:r>
    </w:p>
    <w:p w:rsidR="00D6791C" w:rsidRDefault="00D6791C" w:rsidP="00D6791C">
      <w:pPr>
        <w:jc w:val="left"/>
      </w:pPr>
      <w:r>
        <w:t>где:</w:t>
      </w:r>
    </w:p>
    <w:p w:rsidR="00D6791C" w:rsidRDefault="00D6791C" w:rsidP="00D6791C">
      <w:pPr>
        <w:jc w:val="left"/>
      </w:pPr>
      <w:r>
        <w:t xml:space="preserve">П – </w:t>
      </w:r>
      <w:r w:rsidRPr="00D6791C">
        <w:t>планируемый объем поступлений</w:t>
      </w:r>
      <w:r>
        <w:t xml:space="preserve">; </w:t>
      </w:r>
    </w:p>
    <w:p w:rsidR="00D6791C" w:rsidRDefault="00D6791C" w:rsidP="00D6791C">
      <w:pPr>
        <w:jc w:val="left"/>
      </w:pPr>
      <w:r>
        <w:t xml:space="preserve">Р – </w:t>
      </w:r>
      <w:r w:rsidRPr="00D6791C">
        <w:t>поступления за предшествующие периоды времени</w:t>
      </w:r>
      <w:r>
        <w:t>;</w:t>
      </w:r>
    </w:p>
    <w:p w:rsidR="00D6791C" w:rsidRPr="00D6791C" w:rsidRDefault="00D6791C" w:rsidP="00D6791C">
      <w:pPr>
        <w:jc w:val="left"/>
        <w:rPr>
          <w:rFonts w:ascii="Times New Roman" w:hAnsi="Times New Roman" w:cs="Times New Roman"/>
        </w:rPr>
      </w:pPr>
      <w:r w:rsidRPr="00D6791C">
        <w:rPr>
          <w:rFonts w:ascii="Times New Roman" w:hAnsi="Times New Roman" w:cs="Times New Roman"/>
          <w:lang w:val="en-US"/>
        </w:rPr>
        <w:t>n</w:t>
      </w:r>
      <w:r w:rsidRPr="00D6791C">
        <w:rPr>
          <w:rFonts w:ascii="Times New Roman" w:hAnsi="Times New Roman" w:cs="Times New Roman"/>
        </w:rPr>
        <w:t xml:space="preserve"> – </w:t>
      </w:r>
      <w:r w:rsidRPr="00D6791C">
        <w:rPr>
          <w:rFonts w:ascii="Times New Roman" w:hAnsi="Times New Roman" w:cs="Times New Roman"/>
          <w:color w:val="000000"/>
        </w:rPr>
        <w:t>количество лет, используемых при расчете, но не менее чем за 3 года</w:t>
      </w:r>
      <w:r>
        <w:rPr>
          <w:rFonts w:ascii="Times New Roman" w:hAnsi="Times New Roman" w:cs="Times New Roman"/>
          <w:color w:val="000000"/>
        </w:rPr>
        <w:t>;</w:t>
      </w:r>
    </w:p>
    <w:p w:rsidR="00BB336F" w:rsidRDefault="00D6791C" w:rsidP="00BB336F">
      <w:pPr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К</w:t>
      </w:r>
      <w:r w:rsidRPr="00D6791C">
        <w:rPr>
          <w:rFonts w:ascii="Times New Roman" w:hAnsi="Times New Roman" w:cs="Times New Roman"/>
        </w:rPr>
        <w:t xml:space="preserve"> – </w:t>
      </w:r>
      <w:r w:rsidRPr="007C0B0A">
        <w:t>индексов потребительских цен</w:t>
      </w:r>
      <w:r>
        <w:rPr>
          <w:rFonts w:ascii="Times New Roman" w:hAnsi="Times New Roman" w:cs="Times New Roman"/>
          <w:color w:val="000000"/>
        </w:rPr>
        <w:t>.</w:t>
      </w:r>
    </w:p>
    <w:p w:rsidR="000E4BF1" w:rsidRDefault="000E4BF1" w:rsidP="003B21CC">
      <w:pPr>
        <w:rPr>
          <w:rFonts w:ascii="Times New Roman" w:hAnsi="Times New Roman" w:cs="Times New Roman"/>
          <w:color w:val="000000"/>
        </w:rPr>
      </w:pPr>
    </w:p>
    <w:p w:rsidR="00BB336F" w:rsidRDefault="00BB336F" w:rsidP="003B21CC">
      <w:pPr>
        <w:rPr>
          <w:b/>
          <w:bCs/>
        </w:rPr>
      </w:pPr>
      <w:r>
        <w:rPr>
          <w:rFonts w:ascii="Times New Roman" w:hAnsi="Times New Roman" w:cs="Times New Roman"/>
          <w:color w:val="000000"/>
        </w:rPr>
        <w:t xml:space="preserve">2. </w:t>
      </w:r>
      <w:r>
        <w:t>Прогноз поступлений з</w:t>
      </w:r>
      <w:r w:rsidRPr="00F7400B">
        <w:t>емельный налог с организаций, обладающих земельным участком, расположенным в границах сельских поселений</w:t>
      </w:r>
      <w:r>
        <w:t xml:space="preserve"> (код </w:t>
      </w:r>
      <w:hyperlink r:id="rId12" w:history="1">
        <w:r>
          <w:rPr>
            <w:rStyle w:val="a4"/>
          </w:rPr>
          <w:t>бюджетной классификации доходов</w:t>
        </w:r>
      </w:hyperlink>
      <w:r>
        <w:t xml:space="preserve"> - </w:t>
      </w:r>
      <w:r w:rsidRPr="00F7400B">
        <w:t>106 06033 10 0000 110</w:t>
      </w:r>
      <w:r>
        <w:t>); з</w:t>
      </w:r>
      <w:r w:rsidRPr="00F7400B">
        <w:t>емельный налог с физических лиц, обладающих земельным участком, расположенным в границах сельских поселений</w:t>
      </w:r>
      <w:r>
        <w:t xml:space="preserve"> (код </w:t>
      </w:r>
      <w:hyperlink r:id="rId13" w:history="1">
        <w:r>
          <w:rPr>
            <w:rStyle w:val="a4"/>
          </w:rPr>
          <w:t>бюджетной классификации доходов</w:t>
        </w:r>
      </w:hyperlink>
      <w:r>
        <w:t xml:space="preserve"> - </w:t>
      </w:r>
      <w:r w:rsidRPr="00F7400B">
        <w:t>106 06043 10 0000 110</w:t>
      </w:r>
      <w:r>
        <w:t>) на очередной финансовый год и плановые периоды рассчитывается по следующей формуле</w:t>
      </w:r>
      <w:r w:rsidRPr="00BB336F">
        <w:rPr>
          <w:bCs/>
        </w:rPr>
        <w:t>:</w:t>
      </w:r>
    </w:p>
    <w:p w:rsidR="00BB336F" w:rsidRDefault="00BB336F" w:rsidP="00BB336F">
      <w:pPr>
        <w:jc w:val="center"/>
      </w:pPr>
      <w:r w:rsidRPr="00BB336F">
        <w:rPr>
          <w:b/>
          <w:bCs/>
        </w:rPr>
        <w:t>ЗН = НБ х НС</w:t>
      </w:r>
      <w:r w:rsidRPr="00BB336F">
        <w:t>.</w:t>
      </w:r>
    </w:p>
    <w:p w:rsidR="00BB336F" w:rsidRDefault="00BB336F" w:rsidP="00BB336F">
      <w:pPr>
        <w:jc w:val="left"/>
      </w:pPr>
      <w:r>
        <w:t>г</w:t>
      </w:r>
      <w:r w:rsidRPr="00BB336F">
        <w:t>де</w:t>
      </w:r>
      <w:r>
        <w:t>:</w:t>
      </w:r>
    </w:p>
    <w:p w:rsidR="00BB336F" w:rsidRDefault="00BB336F" w:rsidP="00BB336F">
      <w:pPr>
        <w:jc w:val="left"/>
      </w:pPr>
      <w:r w:rsidRPr="00BB336F">
        <w:t xml:space="preserve">ЗН – сумма земельного налога, руб. </w:t>
      </w:r>
    </w:p>
    <w:p w:rsidR="00113EE1" w:rsidRDefault="00BB336F" w:rsidP="00BB336F">
      <w:pPr>
        <w:jc w:val="left"/>
      </w:pPr>
      <w:r w:rsidRPr="00BB336F">
        <w:t xml:space="preserve">НБ – налоговая база, руб. </w:t>
      </w:r>
    </w:p>
    <w:p w:rsidR="00D6791C" w:rsidRDefault="00BB336F" w:rsidP="00113EE1">
      <w:pPr>
        <w:jc w:val="left"/>
        <w:rPr>
          <w:rFonts w:ascii="Times New Roman" w:hAnsi="Times New Roman" w:cs="Times New Roman"/>
          <w:color w:val="000000"/>
        </w:rPr>
      </w:pPr>
      <w:r w:rsidRPr="00BB336F">
        <w:t>НС – налоговая ставка, %.</w:t>
      </w:r>
    </w:p>
    <w:p w:rsidR="00113EE1" w:rsidRPr="00113EE1" w:rsidRDefault="00113EE1" w:rsidP="00113EE1">
      <w:pPr>
        <w:jc w:val="left"/>
        <w:rPr>
          <w:rFonts w:ascii="Times New Roman" w:hAnsi="Times New Roman" w:cs="Times New Roman"/>
          <w:color w:val="000000"/>
        </w:rPr>
      </w:pPr>
    </w:p>
    <w:p w:rsidR="008417E3" w:rsidRDefault="00BB336F">
      <w:r>
        <w:t>3</w:t>
      </w:r>
      <w:r w:rsidR="00936F3F">
        <w:t xml:space="preserve">. </w:t>
      </w:r>
      <w:r w:rsidR="009A6BF0">
        <w:t xml:space="preserve">Прогноз поступлений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(код </w:t>
      </w:r>
      <w:hyperlink r:id="rId14" w:history="1">
        <w:r w:rsidR="009A6BF0">
          <w:rPr>
            <w:rStyle w:val="a4"/>
          </w:rPr>
          <w:t>бюджетной классификации доходов</w:t>
        </w:r>
      </w:hyperlink>
      <w:r w:rsidR="009A6BF0">
        <w:t xml:space="preserve"> - </w:t>
      </w:r>
      <w:r w:rsidR="00936F3F" w:rsidRPr="00F7400B">
        <w:t>108 04020 01 0000 110</w:t>
      </w:r>
      <w:r w:rsidR="00DC2C9F">
        <w:t>)</w:t>
      </w:r>
      <w:r w:rsidR="009A6BF0">
        <w:t xml:space="preserve"> на очередной финансовый год рассчитывается методом фактических поступлений, а также методом экспертной оценки.</w:t>
      </w:r>
    </w:p>
    <w:bookmarkEnd w:id="2"/>
    <w:p w:rsidR="008417E3" w:rsidRDefault="009A6BF0">
      <w:r>
        <w:t>Метод фактических поступлений основывается на данных о фактических поступлениях по данному доходному источнику за последние три отчетных периода. Ожидаемый объем поступлений соответствует среднему арифметическому значению за применяемые для расчета периоды. Данные о фактических поступлениях в местный бюджет берутся из отчетов об исполнении бюджета Администрации за соответствующий период.</w:t>
      </w:r>
    </w:p>
    <w:p w:rsidR="008417E3" w:rsidRDefault="009A6BF0">
      <w:r>
        <w:t>Прогнозирование поступлений может также основываться на методе экспертной оценки. Методом экспертной оценки прогнозируется поступление, по данному доходному источнику, исходя из предполагаемых возможных поступлений государственной пошлины.</w:t>
      </w:r>
    </w:p>
    <w:p w:rsidR="008417E3" w:rsidRDefault="008417E3"/>
    <w:p w:rsidR="008417E3" w:rsidRDefault="009A6BF0">
      <w:pPr>
        <w:pStyle w:val="1"/>
      </w:pPr>
      <w:bookmarkStart w:id="3" w:name="sub_200"/>
      <w:r>
        <w:t>Неналоговые доходы.</w:t>
      </w:r>
    </w:p>
    <w:bookmarkEnd w:id="3"/>
    <w:p w:rsidR="008417E3" w:rsidRDefault="008417E3"/>
    <w:p w:rsidR="008417E3" w:rsidRDefault="00C078ED">
      <w:bookmarkStart w:id="4" w:name="sub_1002"/>
      <w:r>
        <w:t>4</w:t>
      </w:r>
      <w:r w:rsidR="009A6BF0">
        <w:t xml:space="preserve">. Прогноз поступлений доходов, получаемых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(код </w:t>
      </w:r>
      <w:hyperlink r:id="rId15" w:history="1">
        <w:r w:rsidR="009A6BF0">
          <w:rPr>
            <w:rStyle w:val="a4"/>
          </w:rPr>
          <w:t>бюджетной классификации доходов</w:t>
        </w:r>
      </w:hyperlink>
      <w:r w:rsidR="009A6BF0">
        <w:t xml:space="preserve"> - </w:t>
      </w:r>
      <w:r w:rsidR="001A1EB8" w:rsidRPr="001A1EB8">
        <w:t>111 05025 10 0000 120</w:t>
      </w:r>
      <w:r w:rsidR="009A6BF0">
        <w:t>) (ДАЗ).</w:t>
      </w:r>
    </w:p>
    <w:bookmarkEnd w:id="4"/>
    <w:p w:rsidR="008417E3" w:rsidRDefault="009A6BF0">
      <w:r>
        <w:t>Расчет планового (прогнозного) показателя данного вида доходов производится по следующей формуле:</w:t>
      </w:r>
    </w:p>
    <w:p w:rsidR="008417E3" w:rsidRDefault="008417E3"/>
    <w:p w:rsidR="008417E3" w:rsidRDefault="009A6BF0">
      <w:r>
        <w:lastRenderedPageBreak/>
        <w:t xml:space="preserve">ДАЗ = </w:t>
      </w:r>
      <w:r w:rsidR="00AE1D66">
        <w:rPr>
          <w:noProof/>
        </w:rPr>
        <w:drawing>
          <wp:inline distT="0" distB="0" distL="0" distR="0">
            <wp:extent cx="111125" cy="18288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ПЛ+/- ПЛ</w:t>
      </w:r>
    </w:p>
    <w:p w:rsidR="008417E3" w:rsidRDefault="008417E3"/>
    <w:p w:rsidR="008417E3" w:rsidRDefault="009A6BF0">
      <w:r>
        <w:t>где:</w:t>
      </w:r>
    </w:p>
    <w:p w:rsidR="008417E3" w:rsidRDefault="009A6BF0">
      <w:r>
        <w:t>ПЛ - размер годовой арендной платы по каждому договору аренды, действующему (заключенному) в текущем году.</w:t>
      </w:r>
    </w:p>
    <w:p w:rsidR="008417E3" w:rsidRDefault="009A6BF0">
      <w:r>
        <w:t xml:space="preserve">ПЛ - показатель корректировки, позволяющий скорректировать плановое значение показателя доходов, в очередном финансовом году и плановом периоде с учетом внесения изменений в муниципальные правовые акты, регулирующие определение размера, условий и сроков внесения арендной платы за земельные участки, государственная собственность на которые не разграничена и находящиеся в собственности </w:t>
      </w:r>
      <w:r w:rsidR="00AC4E8D">
        <w:t>Сельского поселения</w:t>
      </w:r>
      <w:r>
        <w:t xml:space="preserve"> "</w:t>
      </w:r>
      <w:r w:rsidR="006F117A">
        <w:t xml:space="preserve">Тиманский </w:t>
      </w:r>
      <w:r>
        <w:t xml:space="preserve">сельсовет" </w:t>
      </w:r>
      <w:r w:rsidR="00AC4E8D">
        <w:t xml:space="preserve">Заполярного района </w:t>
      </w:r>
      <w:r>
        <w:t>Ненецкого автономного округа, а также поступлений в виде арендной платы по неисполненным обязательствам.</w:t>
      </w:r>
    </w:p>
    <w:p w:rsidR="008417E3" w:rsidRDefault="009A6BF0">
      <w:r>
        <w:t>Источник данных: реестр договоров аренды</w:t>
      </w:r>
    </w:p>
    <w:p w:rsidR="00C078ED" w:rsidRDefault="00C078ED">
      <w:bookmarkStart w:id="5" w:name="sub_1003"/>
    </w:p>
    <w:p w:rsidR="008417E3" w:rsidRDefault="00C078ED">
      <w:r>
        <w:t>5</w:t>
      </w:r>
      <w:r w:rsidR="009A6BF0">
        <w:t xml:space="preserve">. Прогноз поступлений доходов </w:t>
      </w:r>
      <w:r w:rsidRPr="00C078ED">
        <w:t xml:space="preserve">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  <w:r w:rsidR="009A6BF0">
        <w:t xml:space="preserve">(код </w:t>
      </w:r>
      <w:hyperlink r:id="rId17" w:history="1">
        <w:r w:rsidR="009A6BF0">
          <w:rPr>
            <w:rStyle w:val="a4"/>
          </w:rPr>
          <w:t>бюджетной классификации доходов</w:t>
        </w:r>
      </w:hyperlink>
      <w:r w:rsidRPr="00C078ED">
        <w:t>111 09045 10 0000 120</w:t>
      </w:r>
      <w:r w:rsidR="009A6BF0">
        <w:t>) (ДАО) на очередной финансовый год рассчитывается с применением метода прямого расчета по следующей формуле:</w:t>
      </w:r>
    </w:p>
    <w:bookmarkEnd w:id="5"/>
    <w:p w:rsidR="008417E3" w:rsidRDefault="008417E3"/>
    <w:p w:rsidR="008417E3" w:rsidRDefault="009A6BF0">
      <w:r>
        <w:t xml:space="preserve">ДАО = </w:t>
      </w:r>
      <w:r w:rsidR="00AE1D66">
        <w:rPr>
          <w:noProof/>
        </w:rPr>
        <w:drawing>
          <wp:inline distT="0" distB="0" distL="0" distR="0">
            <wp:extent cx="111125" cy="182880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С х n</w:t>
      </w:r>
    </w:p>
    <w:p w:rsidR="008417E3" w:rsidRDefault="008417E3"/>
    <w:p w:rsidR="008417E3" w:rsidRDefault="009A6BF0">
      <w:r>
        <w:t>где:</w:t>
      </w:r>
    </w:p>
    <w:p w:rsidR="008417E3" w:rsidRDefault="009A6BF0">
      <w:r>
        <w:t>С - размер арендной платы без НДС в месяц, установленный договором.</w:t>
      </w:r>
    </w:p>
    <w:p w:rsidR="008417E3" w:rsidRDefault="009A6BF0">
      <w:r>
        <w:t>n - количество месяцев аренды</w:t>
      </w:r>
    </w:p>
    <w:p w:rsidR="008417E3" w:rsidRDefault="009A6BF0">
      <w:r>
        <w:t>Источник данных: реестр договоров аренды</w:t>
      </w:r>
    </w:p>
    <w:p w:rsidR="00C078ED" w:rsidRDefault="00C078ED">
      <w:bookmarkStart w:id="6" w:name="sub_1004"/>
    </w:p>
    <w:p w:rsidR="008417E3" w:rsidRDefault="00FF7937">
      <w:r>
        <w:t>6</w:t>
      </w:r>
      <w:r w:rsidR="009A6BF0">
        <w:t xml:space="preserve">. Прогноз поступлений доходов </w:t>
      </w:r>
      <w:r w:rsidRPr="00FF7937">
        <w:t xml:space="preserve">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 </w:t>
      </w:r>
      <w:r w:rsidR="009A6BF0">
        <w:t xml:space="preserve">(код </w:t>
      </w:r>
      <w:hyperlink r:id="rId19" w:history="1">
        <w:r w:rsidR="009A6BF0">
          <w:rPr>
            <w:rStyle w:val="a4"/>
          </w:rPr>
          <w:t>бюджетной классификации доходов</w:t>
        </w:r>
      </w:hyperlink>
      <w:r>
        <w:t>–</w:t>
      </w:r>
      <w:r w:rsidRPr="00FF7937">
        <w:t>111 09080 10 0000 120</w:t>
      </w:r>
      <w:r w:rsidR="009A6BF0">
        <w:t>) (ДАК) на очередной финансовый год рассчитывается с применением метода прямого расчета по следующей формуле:</w:t>
      </w:r>
    </w:p>
    <w:bookmarkEnd w:id="6"/>
    <w:p w:rsidR="008417E3" w:rsidRDefault="008417E3"/>
    <w:p w:rsidR="008417E3" w:rsidRDefault="009A6BF0">
      <w:r>
        <w:t xml:space="preserve">ДАК = </w:t>
      </w:r>
      <w:r w:rsidR="00AE1D66">
        <w:rPr>
          <w:noProof/>
        </w:rPr>
        <w:drawing>
          <wp:inline distT="0" distB="0" distL="0" distR="0">
            <wp:extent cx="111125" cy="18288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С х n</w:t>
      </w:r>
    </w:p>
    <w:p w:rsidR="008417E3" w:rsidRDefault="008417E3"/>
    <w:p w:rsidR="008417E3" w:rsidRDefault="009A6BF0">
      <w:r>
        <w:t>где:</w:t>
      </w:r>
    </w:p>
    <w:p w:rsidR="008417E3" w:rsidRDefault="009A6BF0">
      <w:r>
        <w:t>С - размер арендной платы без НДС в месяц, установленный договором.</w:t>
      </w:r>
    </w:p>
    <w:p w:rsidR="008417E3" w:rsidRDefault="009A6BF0">
      <w:r>
        <w:t>n - количество месяцев аренды.</w:t>
      </w:r>
    </w:p>
    <w:p w:rsidR="008417E3" w:rsidRDefault="009A6BF0">
      <w:r>
        <w:t>Источник данных: реестр договоров аренды</w:t>
      </w:r>
    </w:p>
    <w:p w:rsidR="008417E3" w:rsidRDefault="008417E3" w:rsidP="00FF7937">
      <w:pPr>
        <w:ind w:firstLine="0"/>
      </w:pPr>
    </w:p>
    <w:p w:rsidR="008417E3" w:rsidRDefault="00FF7937">
      <w:bookmarkStart w:id="7" w:name="sub_1009"/>
      <w:r>
        <w:t>7</w:t>
      </w:r>
      <w:r w:rsidR="009A6BF0">
        <w:t xml:space="preserve">. Поступление иных доходов местного бюджета, администратором которых является </w:t>
      </w:r>
      <w:r w:rsidR="009A6BF0" w:rsidRPr="00AC4E8D">
        <w:t xml:space="preserve">Администрация </w:t>
      </w:r>
      <w:r w:rsidR="00AC4E8D" w:rsidRPr="00AC4E8D">
        <w:t>Сельского поселения</w:t>
      </w:r>
      <w:r w:rsidR="009A6BF0" w:rsidRPr="00AC4E8D">
        <w:t xml:space="preserve"> "</w:t>
      </w:r>
      <w:r w:rsidR="006F117A" w:rsidRPr="00AC4E8D">
        <w:t xml:space="preserve">Тиманский </w:t>
      </w:r>
      <w:r w:rsidR="009A6BF0" w:rsidRPr="00AC4E8D">
        <w:t>сельсовет"</w:t>
      </w:r>
      <w:r w:rsidR="00AC4E8D" w:rsidRPr="00AC4E8D">
        <w:t xml:space="preserve"> ЗР</w:t>
      </w:r>
      <w:r w:rsidR="009A6BF0" w:rsidRPr="00AC4E8D">
        <w:t xml:space="preserve"> НАО,</w:t>
      </w:r>
      <w:r w:rsidR="009A6BF0">
        <w:t xml:space="preserve"> не имеет постоянного характера. Их прогнозирование осуществляется с применением метода усреднения на основании средних годовых объемов фактического поступления соответствующих доходов за предшествующие три года по следующей формуле:</w:t>
      </w:r>
    </w:p>
    <w:bookmarkEnd w:id="7"/>
    <w:p w:rsidR="008417E3" w:rsidRDefault="008417E3"/>
    <w:p w:rsidR="008417E3" w:rsidRDefault="00AE1D66">
      <w:r>
        <w:rPr>
          <w:noProof/>
        </w:rPr>
        <w:drawing>
          <wp:inline distT="0" distB="0" distL="0" distR="0">
            <wp:extent cx="914400" cy="8032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BF0">
        <w:t>,</w:t>
      </w:r>
    </w:p>
    <w:p w:rsidR="008417E3" w:rsidRDefault="008417E3"/>
    <w:p w:rsidR="008417E3" w:rsidRDefault="009A6BF0">
      <w:r>
        <w:lastRenderedPageBreak/>
        <w:t>где:</w:t>
      </w:r>
    </w:p>
    <w:p w:rsidR="008417E3" w:rsidRDefault="009A6BF0">
      <w:r>
        <w:t>n - количество отчетных периодов (не менее 3-х лет, предшествующих прогнозируемому);</w:t>
      </w:r>
    </w:p>
    <w:p w:rsidR="008417E3" w:rsidRDefault="009A6BF0">
      <w:r>
        <w:t>Д</w:t>
      </w:r>
      <w:r>
        <w:rPr>
          <w:vertAlign w:val="subscript"/>
        </w:rPr>
        <w:t> ф</w:t>
      </w:r>
      <w:r>
        <w:t xml:space="preserve"> - фактические доходы за отчетный период.</w:t>
      </w:r>
    </w:p>
    <w:p w:rsidR="008417E3" w:rsidRDefault="009A6BF0">
      <w:r>
        <w:t>Источник данных: показатели бухгалтерского учета.</w:t>
      </w:r>
    </w:p>
    <w:p w:rsidR="008417E3" w:rsidRDefault="009A6BF0">
      <w:r>
        <w:t>К доходам, поступление которых не имеет постоянного характера, относятся:</w:t>
      </w:r>
    </w:p>
    <w:p w:rsidR="008417E3" w:rsidRDefault="009A6BF0">
      <w:r>
        <w:t>- прочие доходы от компенсации затрат бюджетов сельских поселений; (дебиторская задолженность прошлых лет, подлежащая зачислению в местный бюджет);</w:t>
      </w:r>
    </w:p>
    <w:p w:rsidR="008417E3" w:rsidRDefault="009A6BF0">
      <w:r>
        <w:t>- 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фонда);</w:t>
      </w:r>
    </w:p>
    <w:p w:rsidR="008417E3" w:rsidRDefault="009A6BF0">
      <w:r>
        <w:t>- 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исполнения;</w:t>
      </w:r>
    </w:p>
    <w:p w:rsidR="008417E3" w:rsidRDefault="009A6BF0">
      <w:r>
        <w:t>-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поселения;</w:t>
      </w:r>
    </w:p>
    <w:p w:rsidR="008417E3" w:rsidRDefault="009A6BF0">
      <w:r>
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</w:r>
      <w:r w:rsidR="00FF7937">
        <w:t>;</w:t>
      </w:r>
    </w:p>
    <w:p w:rsidR="008417E3" w:rsidRDefault="009A6BF0">
      <w:r>
        <w:t>- невыясненные поступления, зачисляемые в бюджеты сельских;</w:t>
      </w:r>
    </w:p>
    <w:p w:rsidR="008417E3" w:rsidRDefault="009A6BF0">
      <w:r>
        <w:t>- прочие неналоговые доходы бюджетов сельских поселений.</w:t>
      </w:r>
    </w:p>
    <w:p w:rsidR="008417E3" w:rsidRDefault="00FF7937">
      <w:bookmarkStart w:id="8" w:name="sub_1010"/>
      <w:r>
        <w:t>8</w:t>
      </w:r>
      <w:r w:rsidR="009A6BF0">
        <w:t>. Прогнозирование безвозмездных поступлений от других бюджетов бюджетной системы Российской Федерации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определен.</w:t>
      </w:r>
    </w:p>
    <w:p w:rsidR="008417E3" w:rsidRDefault="00FF7937">
      <w:bookmarkStart w:id="9" w:name="sub_1011"/>
      <w:bookmarkEnd w:id="8"/>
      <w:r>
        <w:t>9</w:t>
      </w:r>
      <w:r w:rsidR="009A6BF0">
        <w:t>. Объемы поступлений по доходам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районов, от возврата иными организациями остатков субсидий прошлых лет, не прогнозируются в связи с несистематичностью и непредсказуемостью их образования.</w:t>
      </w:r>
    </w:p>
    <w:p w:rsidR="008417E3" w:rsidRDefault="009A6BF0">
      <w:bookmarkStart w:id="10" w:name="sub_1012"/>
      <w:bookmarkEnd w:id="9"/>
      <w:r>
        <w:t>1</w:t>
      </w:r>
      <w:r w:rsidR="00FF7937">
        <w:t>0</w:t>
      </w:r>
      <w:r>
        <w:t>. В процессе исполнения местного бюджета возможна корректировка объема прогноза поступлений доходов на сумму превышения (уменьшения) фактического объема их поступления в текущем финансовом году.</w:t>
      </w:r>
    </w:p>
    <w:bookmarkEnd w:id="10"/>
    <w:p w:rsidR="009A6BF0" w:rsidRDefault="009A6BF0"/>
    <w:sectPr w:rsidR="009A6BF0" w:rsidSect="00ED34E4">
      <w:footerReference w:type="default" r:id="rId22"/>
      <w:pgSz w:w="11900" w:h="16800"/>
      <w:pgMar w:top="709" w:right="800" w:bottom="1134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AC" w:rsidRDefault="00B731AC">
      <w:r>
        <w:separator/>
      </w:r>
    </w:p>
  </w:endnote>
  <w:endnote w:type="continuationSeparator" w:id="1">
    <w:p w:rsidR="00B731AC" w:rsidRDefault="00B73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8417E3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8417E3" w:rsidRDefault="008417E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417E3" w:rsidRDefault="008417E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417E3" w:rsidRDefault="008417E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AC" w:rsidRDefault="00B731AC">
      <w:r>
        <w:separator/>
      </w:r>
    </w:p>
  </w:footnote>
  <w:footnote w:type="continuationSeparator" w:id="1">
    <w:p w:rsidR="00B731AC" w:rsidRDefault="00B731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07973"/>
    <w:multiLevelType w:val="multilevel"/>
    <w:tmpl w:val="19C056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4B8D"/>
    <w:rsid w:val="00042DE9"/>
    <w:rsid w:val="000E3B7D"/>
    <w:rsid w:val="000E4BF1"/>
    <w:rsid w:val="000F5203"/>
    <w:rsid w:val="0010779E"/>
    <w:rsid w:val="00113EE1"/>
    <w:rsid w:val="00153E9C"/>
    <w:rsid w:val="00192564"/>
    <w:rsid w:val="001A1EB8"/>
    <w:rsid w:val="001D7F66"/>
    <w:rsid w:val="003B21CC"/>
    <w:rsid w:val="00450B05"/>
    <w:rsid w:val="004A4562"/>
    <w:rsid w:val="005948ED"/>
    <w:rsid w:val="00614642"/>
    <w:rsid w:val="006C04A3"/>
    <w:rsid w:val="006F117A"/>
    <w:rsid w:val="00711004"/>
    <w:rsid w:val="00714415"/>
    <w:rsid w:val="007A60BB"/>
    <w:rsid w:val="007C0B0A"/>
    <w:rsid w:val="00800480"/>
    <w:rsid w:val="00836728"/>
    <w:rsid w:val="008417E3"/>
    <w:rsid w:val="008A712C"/>
    <w:rsid w:val="008E78BA"/>
    <w:rsid w:val="00936F3F"/>
    <w:rsid w:val="009528FB"/>
    <w:rsid w:val="0098446F"/>
    <w:rsid w:val="009A6BF0"/>
    <w:rsid w:val="00A7297A"/>
    <w:rsid w:val="00AC4E8D"/>
    <w:rsid w:val="00AE1D66"/>
    <w:rsid w:val="00AF218F"/>
    <w:rsid w:val="00B2650A"/>
    <w:rsid w:val="00B731AC"/>
    <w:rsid w:val="00BB13EF"/>
    <w:rsid w:val="00BB336F"/>
    <w:rsid w:val="00BC62D6"/>
    <w:rsid w:val="00C078ED"/>
    <w:rsid w:val="00C561A1"/>
    <w:rsid w:val="00CC44EF"/>
    <w:rsid w:val="00CE4B8D"/>
    <w:rsid w:val="00D648E1"/>
    <w:rsid w:val="00D64F6F"/>
    <w:rsid w:val="00D6791C"/>
    <w:rsid w:val="00DC2C9F"/>
    <w:rsid w:val="00E2768E"/>
    <w:rsid w:val="00E9100E"/>
    <w:rsid w:val="00ED34E4"/>
    <w:rsid w:val="00F027F0"/>
    <w:rsid w:val="00F43A92"/>
    <w:rsid w:val="00F7400B"/>
    <w:rsid w:val="00FF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17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4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417E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417E3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417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8417E3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417E3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8417E3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8417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417E3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8417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417E3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F117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17A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D6791C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6C04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">
    <w:name w:val="Основной текст Знак"/>
    <w:basedOn w:val="a0"/>
    <w:rsid w:val="006C04A3"/>
    <w:rPr>
      <w:sz w:val="25"/>
      <w:szCs w:val="25"/>
      <w:shd w:val="clear" w:color="auto" w:fill="FFFFFF"/>
    </w:rPr>
  </w:style>
  <w:style w:type="character" w:customStyle="1" w:styleId="-">
    <w:name w:val="Интернет-ссылка"/>
    <w:rsid w:val="006C04A3"/>
    <w:rPr>
      <w:color w:val="000080"/>
      <w:u w:val="single"/>
    </w:rPr>
  </w:style>
  <w:style w:type="paragraph" w:styleId="af0">
    <w:name w:val="No Spacing"/>
    <w:uiPriority w:val="1"/>
    <w:qFormat/>
    <w:rsid w:val="006C04A3"/>
    <w:pPr>
      <w:suppressAutoHyphens/>
      <w:spacing w:after="0" w:line="240" w:lineRule="auto"/>
    </w:pPr>
    <w:rPr>
      <w:rFonts w:eastAsia="Calibri" w:cs="Times New Roman"/>
      <w:color w:val="00000A"/>
      <w:lang w:eastAsia="en-US"/>
    </w:rPr>
  </w:style>
  <w:style w:type="paragraph" w:customStyle="1" w:styleId="ConsPlusTitle">
    <w:name w:val="ConsPlusTitle"/>
    <w:rsid w:val="006C04A3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color w:val="00000A"/>
      <w:sz w:val="20"/>
      <w:szCs w:val="20"/>
    </w:rPr>
  </w:style>
  <w:style w:type="paragraph" w:customStyle="1" w:styleId="af1">
    <w:name w:val="Содержимое врезки"/>
    <w:basedOn w:val="a"/>
    <w:rsid w:val="006C04A3"/>
    <w:pPr>
      <w:widowControl/>
      <w:suppressAutoHyphens/>
      <w:autoSpaceDE/>
      <w:autoSpaceDN/>
      <w:adjustRightInd/>
      <w:spacing w:after="200" w:line="276" w:lineRule="auto"/>
      <w:ind w:firstLine="0"/>
      <w:jc w:val="left"/>
    </w:pPr>
    <w:rPr>
      <w:rFonts w:asciiTheme="minorHAnsi" w:hAnsiTheme="minorHAnsi" w:cstheme="minorBidi"/>
      <w:color w:val="00000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7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408460/1000" TargetMode="External"/><Relationship Id="rId13" Type="http://schemas.openxmlformats.org/officeDocument/2006/relationships/hyperlink" Target="http://internet.garant.ru/document/redirect/72275618/11000" TargetMode="External"/><Relationship Id="rId18" Type="http://schemas.openxmlformats.org/officeDocument/2006/relationships/image" Target="media/image2.emf"/><Relationship Id="rId3" Type="http://schemas.openxmlformats.org/officeDocument/2006/relationships/settings" Target="settings.xml"/><Relationship Id="rId21" Type="http://schemas.openxmlformats.org/officeDocument/2006/relationships/image" Target="media/image4.emf"/><Relationship Id="rId7" Type="http://schemas.openxmlformats.org/officeDocument/2006/relationships/hyperlink" Target="http://internet.garant.ru/document/redirect/72275618/1000" TargetMode="External"/><Relationship Id="rId12" Type="http://schemas.openxmlformats.org/officeDocument/2006/relationships/hyperlink" Target="http://internet.garant.ru/document/redirect/72275618/11000" TargetMode="External"/><Relationship Id="rId17" Type="http://schemas.openxmlformats.org/officeDocument/2006/relationships/hyperlink" Target="http://internet.garant.ru/document/redirect/72275618/11000" TargetMode="External"/><Relationship Id="rId2" Type="http://schemas.openxmlformats.org/officeDocument/2006/relationships/styles" Target="styles.xml"/><Relationship Id="rId16" Type="http://schemas.openxmlformats.org/officeDocument/2006/relationships/image" Target="media/image1.emf"/><Relationship Id="rId20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72275618/1100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/redirect/72275618/1100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document/redirect/72275618/11000" TargetMode="External"/><Relationship Id="rId19" Type="http://schemas.openxmlformats.org/officeDocument/2006/relationships/hyperlink" Target="http://internet.garant.ru/document/redirect/72275618/1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2275618/11000" TargetMode="External"/><Relationship Id="rId14" Type="http://schemas.openxmlformats.org/officeDocument/2006/relationships/hyperlink" Target="http://internet.garant.ru/document/redirect/72275618/1100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2</cp:revision>
  <dcterms:created xsi:type="dcterms:W3CDTF">2022-12-22T08:06:00Z</dcterms:created>
  <dcterms:modified xsi:type="dcterms:W3CDTF">2022-12-22T08:06:00Z</dcterms:modified>
</cp:coreProperties>
</file>